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7D" w:rsidRPr="00CC227D" w:rsidRDefault="00CC227D" w:rsidP="00CC227D">
      <w:pPr>
        <w:spacing w:line="348" w:lineRule="auto"/>
        <w:ind w:firstLine="709"/>
        <w:jc w:val="both"/>
      </w:pPr>
      <w:r w:rsidRPr="00CC227D">
        <w:t xml:space="preserve">Во </w:t>
      </w:r>
      <w:r w:rsidRPr="00CC227D">
        <w:rPr>
          <w:lang w:val="en-US"/>
        </w:rPr>
        <w:t>IV</w:t>
      </w:r>
      <w:r w:rsidRPr="00CC227D">
        <w:t xml:space="preserve"> квартале 2018 года в Управление поступило всего </w:t>
      </w:r>
      <w:r w:rsidRPr="00CC227D">
        <w:rPr>
          <w:b/>
          <w:bCs/>
        </w:rPr>
        <w:t xml:space="preserve">215 </w:t>
      </w:r>
      <w:r w:rsidRPr="00CC227D">
        <w:t>обращений граждан, что на 4.9% больше, чем за аналогичный период прошлого года (205), из них 138 обращений было получено в форме электронного документа (64,2% от общего числа обращений)</w:t>
      </w:r>
      <w:r w:rsidRPr="00CC227D">
        <w:rPr>
          <w:color w:val="C00000"/>
        </w:rPr>
        <w:t xml:space="preserve">, </w:t>
      </w:r>
      <w:r w:rsidRPr="00CC227D">
        <w:t xml:space="preserve">что на 42,3% больше показателя аналогичного периода прошлого года (97, 47,3% от общего числа обращений). 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>Тематика обращений распределилась следующим образом: в области энергетического надзора – 20,5% (44), в области подъемных сооружений – 11,6% (25), в области деятельности в сфере промышленности – 38,6% (83), а также в области строительного надзора – 4,2% (9).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>Из общего количества поступивших обращений граждан 157 закончены рассмотрением (72.6%), 30 обращений граждан переадресованы (14%), 28 обращений находятся на рассмотрении (14,1%).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 xml:space="preserve">По обращениям, рассмотренным в </w:t>
      </w:r>
      <w:r w:rsidRPr="00CC227D">
        <w:rPr>
          <w:lang w:val="en-US"/>
        </w:rPr>
        <w:t>I</w:t>
      </w:r>
      <w:r w:rsidRPr="00CC227D">
        <w:rPr>
          <w:color w:val="000000"/>
          <w:lang w:val="en-US"/>
        </w:rPr>
        <w:t>V</w:t>
      </w:r>
      <w:r w:rsidRPr="00CC227D">
        <w:t xml:space="preserve"> квартале 2018 года (156) приняты следующие решения: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>- поддержано - 16 (7.4%);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>- не поддержано - 30 (14%);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</w:pPr>
      <w:r w:rsidRPr="00CC227D">
        <w:t>- разъяснено - 111 (51.6%).</w:t>
      </w:r>
    </w:p>
    <w:p w:rsidR="00CC227D" w:rsidRPr="00CC227D" w:rsidRDefault="00CC227D" w:rsidP="00CC227D">
      <w:pPr>
        <w:spacing w:line="360" w:lineRule="auto"/>
        <w:ind w:firstLine="709"/>
        <w:jc w:val="both"/>
        <w:rPr>
          <w:iCs/>
        </w:rPr>
      </w:pPr>
      <w:r w:rsidRPr="00CC227D">
        <w:rPr>
          <w:iCs/>
        </w:rPr>
        <w:t>За отчетный период обращений о записи на личный прием к Руководителю Управления и его заместителям не поступало.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/>
          <w:iCs/>
        </w:rPr>
      </w:pPr>
      <w:r w:rsidRPr="00CC227D">
        <w:rPr>
          <w:i/>
          <w:iCs/>
        </w:rPr>
        <w:t>За отчетный период поступило 1 обращение о недостатках в организации деятельности Управления: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 xml:space="preserve">- </w:t>
      </w:r>
      <w:r w:rsidRPr="00CC227D">
        <w:rPr>
          <w:rFonts w:hint="eastAsia"/>
          <w:iCs/>
        </w:rPr>
        <w:t>об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отказе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в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приеме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экспертизы</w:t>
      </w:r>
      <w:r w:rsidRPr="00CC227D">
        <w:rPr>
          <w:iCs/>
        </w:rPr>
        <w:t xml:space="preserve"> 02.11.2018, </w:t>
      </w:r>
      <w:r w:rsidRPr="00CC227D">
        <w:rPr>
          <w:rFonts w:hint="eastAsia"/>
          <w:iCs/>
        </w:rPr>
        <w:t>отправленной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курьерской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службой</w:t>
      </w:r>
      <w:r w:rsidRPr="00CC227D">
        <w:rPr>
          <w:iCs/>
        </w:rPr>
        <w:t xml:space="preserve"> DIMEX. 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/>
          <w:iCs/>
        </w:rPr>
        <w:t>За отчетный период поступило 4 обращения на действия инспекторского состава Управления</w:t>
      </w:r>
      <w:r w:rsidRPr="00CC227D">
        <w:rPr>
          <w:iCs/>
        </w:rPr>
        <w:t>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>- на злоупотребление должностными полномочиями при проведении контрольно-надзорного мероприятия заместителем начальника отдела С.М. Еськовой;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 xml:space="preserve">- </w:t>
      </w:r>
      <w:r w:rsidRPr="00CC227D">
        <w:rPr>
          <w:rFonts w:hint="eastAsia"/>
          <w:iCs/>
        </w:rPr>
        <w:t>о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проведении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служебной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проверки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достоверности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сведений</w:t>
      </w:r>
      <w:r w:rsidRPr="00CC227D">
        <w:rPr>
          <w:iCs/>
        </w:rPr>
        <w:t xml:space="preserve">, </w:t>
      </w:r>
      <w:r w:rsidRPr="00CC227D">
        <w:rPr>
          <w:rFonts w:hint="eastAsia"/>
          <w:iCs/>
        </w:rPr>
        <w:t>предоставленных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Еськовой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С</w:t>
      </w:r>
      <w:r w:rsidRPr="00CC227D">
        <w:rPr>
          <w:iCs/>
        </w:rPr>
        <w:t>.</w:t>
      </w:r>
      <w:r w:rsidRPr="00CC227D">
        <w:rPr>
          <w:rFonts w:hint="eastAsia"/>
          <w:iCs/>
        </w:rPr>
        <w:t>М</w:t>
      </w:r>
      <w:r w:rsidRPr="00CC227D">
        <w:rPr>
          <w:iCs/>
        </w:rPr>
        <w:t>;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lastRenderedPageBreak/>
        <w:t xml:space="preserve">- </w:t>
      </w:r>
      <w:r w:rsidRPr="00CC227D">
        <w:rPr>
          <w:rFonts w:hint="eastAsia"/>
          <w:iCs/>
        </w:rPr>
        <w:t>на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злоупотребление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должностными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полномочиями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проведении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контрольно</w:t>
      </w:r>
      <w:r w:rsidRPr="00CC227D">
        <w:rPr>
          <w:iCs/>
        </w:rPr>
        <w:t>-</w:t>
      </w:r>
      <w:r w:rsidRPr="00CC227D">
        <w:rPr>
          <w:rFonts w:hint="eastAsia"/>
          <w:iCs/>
        </w:rPr>
        <w:t>надзорного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мероприятия</w:t>
      </w:r>
      <w:r w:rsidRPr="00CC227D">
        <w:rPr>
          <w:iCs/>
        </w:rPr>
        <w:t>;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 xml:space="preserve">- </w:t>
      </w:r>
      <w:r w:rsidRPr="00CC227D">
        <w:rPr>
          <w:rFonts w:hint="eastAsia"/>
          <w:iCs/>
        </w:rPr>
        <w:t>о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халатном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отношении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проведении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контрольно</w:t>
      </w:r>
      <w:r w:rsidRPr="00CC227D">
        <w:rPr>
          <w:iCs/>
        </w:rPr>
        <w:t>-</w:t>
      </w:r>
      <w:r w:rsidRPr="00CC227D">
        <w:rPr>
          <w:rFonts w:hint="eastAsia"/>
          <w:iCs/>
        </w:rPr>
        <w:t>надзорного</w:t>
      </w:r>
      <w:r w:rsidRPr="00CC227D">
        <w:rPr>
          <w:iCs/>
        </w:rPr>
        <w:t xml:space="preserve"> </w:t>
      </w:r>
      <w:r w:rsidRPr="00CC227D">
        <w:rPr>
          <w:rFonts w:hint="eastAsia"/>
          <w:iCs/>
        </w:rPr>
        <w:t>мероприятия</w:t>
      </w:r>
      <w:r w:rsidRPr="00CC227D">
        <w:rPr>
          <w:iCs/>
        </w:rPr>
        <w:t>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/>
          <w:iCs/>
        </w:rPr>
      </w:pPr>
      <w:r w:rsidRPr="00CC227D">
        <w:rPr>
          <w:i/>
          <w:iCs/>
        </w:rPr>
        <w:t>За отчетный период обращений на решение и действия (бездействия) Федеральной службы по экологическому, технологическому и атомному надзору и её должностных лиц при предоставлении государственных услуг не поступало.</w:t>
      </w:r>
    </w:p>
    <w:p w:rsidR="00CC227D" w:rsidRPr="00CC227D" w:rsidRDefault="00CC227D" w:rsidP="00CC227D">
      <w:pPr>
        <w:tabs>
          <w:tab w:val="left" w:pos="426"/>
        </w:tabs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>Судебных исков от граждан по результатам рассмотрения обращений в Управление не поступало.</w:t>
      </w:r>
    </w:p>
    <w:p w:rsidR="00CC227D" w:rsidRPr="00CC227D" w:rsidRDefault="00CC227D" w:rsidP="00CC227D">
      <w:pPr>
        <w:spacing w:line="348" w:lineRule="auto"/>
        <w:ind w:firstLine="709"/>
        <w:jc w:val="both"/>
        <w:rPr>
          <w:iCs/>
        </w:rPr>
      </w:pPr>
      <w:r w:rsidRPr="00CC227D">
        <w:rPr>
          <w:iCs/>
        </w:rPr>
        <w:t xml:space="preserve">Обращения были рассмотрены и в установленный законом срок заявителям был дан содержательный ответ. </w:t>
      </w:r>
    </w:p>
    <w:p w:rsidR="00514927" w:rsidRPr="00CC227D" w:rsidRDefault="00CC227D" w:rsidP="00CC227D">
      <w:bookmarkStart w:id="0" w:name="_GoBack"/>
      <w:bookmarkEnd w:id="0"/>
    </w:p>
    <w:sectPr w:rsidR="00514927" w:rsidRPr="00CC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8"/>
    <w:rsid w:val="00027958"/>
    <w:rsid w:val="00402C6E"/>
    <w:rsid w:val="00656479"/>
    <w:rsid w:val="00A5105B"/>
    <w:rsid w:val="00CC227D"/>
    <w:rsid w:val="00C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128E-CC32-44B0-BFEE-88F855B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79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4</cp:revision>
  <dcterms:created xsi:type="dcterms:W3CDTF">2019-08-05T08:52:00Z</dcterms:created>
  <dcterms:modified xsi:type="dcterms:W3CDTF">2019-08-05T08:58:00Z</dcterms:modified>
</cp:coreProperties>
</file>